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17CE" w:rsidRDefault="004C17CE" w:rsidP="004C17CE">
      <w:pPr>
        <w:rPr>
          <w:rFonts w:ascii="Tahoma" w:hAnsi="Tahoma" w:cs="Tahoma"/>
          <w:sz w:val="20"/>
          <w:szCs w:val="20"/>
        </w:rPr>
      </w:pPr>
      <w:proofErr w:type="spellStart"/>
      <w:r w:rsidRPr="000C5743">
        <w:rPr>
          <w:rFonts w:ascii="Tahoma" w:hAnsi="Tahoma" w:cs="Tahoma"/>
          <w:sz w:val="20"/>
          <w:szCs w:val="20"/>
        </w:rPr>
        <w:t>Polywest</w:t>
      </w:r>
      <w:proofErr w:type="spellEnd"/>
      <w:r w:rsidRPr="000C5743">
        <w:rPr>
          <w:rFonts w:ascii="Tahoma" w:hAnsi="Tahoma" w:cs="Tahoma"/>
          <w:sz w:val="20"/>
          <w:szCs w:val="20"/>
        </w:rPr>
        <w:t xml:space="preserve"> is a distributor of liquid handling products including polyethylene tanks, Banjo &amp; </w:t>
      </w:r>
      <w:proofErr w:type="spellStart"/>
      <w:r w:rsidRPr="000C5743">
        <w:rPr>
          <w:rFonts w:ascii="Tahoma" w:hAnsi="Tahoma" w:cs="Tahoma"/>
          <w:sz w:val="20"/>
          <w:szCs w:val="20"/>
        </w:rPr>
        <w:t>Norwesco</w:t>
      </w:r>
      <w:proofErr w:type="spellEnd"/>
      <w:r w:rsidRPr="000C5743">
        <w:rPr>
          <w:rFonts w:ascii="Tahoma" w:hAnsi="Tahoma" w:cs="Tahoma"/>
          <w:sz w:val="20"/>
          <w:szCs w:val="20"/>
        </w:rPr>
        <w:t xml:space="preserve"> liquid handling product</w:t>
      </w:r>
      <w:r>
        <w:rPr>
          <w:rFonts w:ascii="Tahoma" w:hAnsi="Tahoma" w:cs="Tahoma"/>
          <w:sz w:val="20"/>
          <w:szCs w:val="20"/>
        </w:rPr>
        <w:t>s</w:t>
      </w:r>
      <w:r w:rsidRPr="000C5743">
        <w:rPr>
          <w:rFonts w:ascii="Tahoma" w:hAnsi="Tahoma" w:cs="Tahoma"/>
          <w:sz w:val="20"/>
          <w:szCs w:val="20"/>
        </w:rPr>
        <w:t xml:space="preserve">, </w:t>
      </w:r>
      <w:r>
        <w:rPr>
          <w:rFonts w:ascii="Tahoma" w:hAnsi="Tahoma" w:cs="Tahoma"/>
          <w:sz w:val="20"/>
          <w:szCs w:val="20"/>
        </w:rPr>
        <w:t xml:space="preserve">as well as above and below </w:t>
      </w:r>
      <w:r w:rsidRPr="000C5743">
        <w:rPr>
          <w:rFonts w:ascii="Tahoma" w:hAnsi="Tahoma" w:cs="Tahoma"/>
          <w:sz w:val="20"/>
          <w:szCs w:val="20"/>
        </w:rPr>
        <w:t xml:space="preserve">ground fiberglass </w:t>
      </w:r>
      <w:r>
        <w:rPr>
          <w:rFonts w:ascii="Tahoma" w:hAnsi="Tahoma" w:cs="Tahoma"/>
          <w:sz w:val="20"/>
          <w:szCs w:val="20"/>
        </w:rPr>
        <w:t>tanks</w:t>
      </w:r>
      <w:r w:rsidRPr="000C5743">
        <w:rPr>
          <w:rFonts w:ascii="Tahoma" w:hAnsi="Tahoma" w:cs="Tahoma"/>
          <w:sz w:val="20"/>
          <w:szCs w:val="20"/>
        </w:rPr>
        <w:t>.</w:t>
      </w:r>
    </w:p>
    <w:p w:rsidR="003654D2" w:rsidRPr="007142A0" w:rsidRDefault="003654D2" w:rsidP="003654D2">
      <w:pPr>
        <w:spacing w:after="0"/>
        <w:rPr>
          <w:rFonts w:ascii="Tahoma" w:hAnsi="Tahoma" w:cs="Tahoma"/>
          <w:b/>
          <w:sz w:val="18"/>
          <w:szCs w:val="18"/>
        </w:rPr>
      </w:pPr>
      <w:r w:rsidRPr="007142A0">
        <w:rPr>
          <w:rFonts w:ascii="Tahoma" w:hAnsi="Tahoma" w:cs="Tahoma"/>
          <w:b/>
          <w:sz w:val="18"/>
          <w:szCs w:val="18"/>
        </w:rPr>
        <w:t>Customer Service Representative (CSR)</w:t>
      </w:r>
      <w:r w:rsidR="001635E0">
        <w:rPr>
          <w:rFonts w:ascii="Tahoma" w:hAnsi="Tahoma" w:cs="Tahoma"/>
          <w:b/>
          <w:sz w:val="18"/>
          <w:szCs w:val="18"/>
        </w:rPr>
        <w:t xml:space="preserve"> – </w:t>
      </w:r>
      <w:r w:rsidR="004C17CE">
        <w:rPr>
          <w:rFonts w:ascii="Tahoma" w:hAnsi="Tahoma" w:cs="Tahoma"/>
          <w:b/>
          <w:sz w:val="18"/>
          <w:szCs w:val="18"/>
        </w:rPr>
        <w:t>Acheson, AB.</w:t>
      </w:r>
    </w:p>
    <w:p w:rsidR="003654D2" w:rsidRPr="000D688C" w:rsidRDefault="003654D2" w:rsidP="003654D2">
      <w:pPr>
        <w:spacing w:after="0"/>
        <w:rPr>
          <w:rFonts w:ascii="Tahoma" w:hAnsi="Tahoma" w:cs="Tahoma"/>
          <w:sz w:val="18"/>
          <w:szCs w:val="18"/>
        </w:rPr>
      </w:pPr>
    </w:p>
    <w:p w:rsidR="003654D2" w:rsidRPr="000D688C" w:rsidRDefault="003654D2" w:rsidP="003654D2">
      <w:pPr>
        <w:spacing w:after="0"/>
        <w:rPr>
          <w:rFonts w:ascii="Tahoma" w:hAnsi="Tahoma" w:cs="Tahoma"/>
          <w:sz w:val="18"/>
          <w:szCs w:val="18"/>
        </w:rPr>
      </w:pPr>
      <w:r w:rsidRPr="000D688C">
        <w:rPr>
          <w:rFonts w:ascii="Tahoma" w:hAnsi="Tahoma" w:cs="Tahoma"/>
          <w:b/>
          <w:sz w:val="18"/>
          <w:szCs w:val="18"/>
        </w:rPr>
        <w:t>Purpose:</w:t>
      </w:r>
      <w:r w:rsidRPr="000D688C">
        <w:rPr>
          <w:rFonts w:ascii="Tahoma" w:hAnsi="Tahoma" w:cs="Tahoma"/>
          <w:sz w:val="18"/>
          <w:szCs w:val="18"/>
        </w:rPr>
        <w:t xml:space="preserve"> The goal of the Customer Service Representative (CRS) position is to bridge the sales team and the shipping team. The CSR will require an outgoing personality who will fulfill the transactional needs of our customers while supporting and complementing our sales team. Tracking the sales through shipping to invoicing will be a key responsibility of this role. An inquisitive mind and attention to detail and accuracy will be crucial. Solid multitasking skills, effective communication and problem solving with demonstrated flexibility will be attributes that will serve you very well in this role.   </w:t>
      </w:r>
    </w:p>
    <w:p w:rsidR="003654D2" w:rsidRPr="000D688C" w:rsidRDefault="003654D2" w:rsidP="003654D2">
      <w:pPr>
        <w:spacing w:after="0"/>
        <w:rPr>
          <w:rFonts w:ascii="Tahoma" w:hAnsi="Tahoma" w:cs="Tahoma"/>
          <w:sz w:val="18"/>
          <w:szCs w:val="18"/>
        </w:rPr>
      </w:pPr>
    </w:p>
    <w:p w:rsidR="003654D2" w:rsidRPr="000D688C" w:rsidRDefault="003654D2" w:rsidP="003654D2">
      <w:pPr>
        <w:spacing w:after="0"/>
        <w:rPr>
          <w:rFonts w:ascii="Tahoma" w:hAnsi="Tahoma" w:cs="Tahoma"/>
          <w:b/>
          <w:sz w:val="18"/>
          <w:szCs w:val="18"/>
        </w:rPr>
      </w:pPr>
      <w:r w:rsidRPr="000D688C">
        <w:rPr>
          <w:rFonts w:ascii="Tahoma" w:hAnsi="Tahoma" w:cs="Tahoma"/>
          <w:b/>
          <w:sz w:val="18"/>
          <w:szCs w:val="18"/>
        </w:rPr>
        <w:t>Duties:</w:t>
      </w:r>
    </w:p>
    <w:p w:rsidR="003654D2" w:rsidRPr="000D688C" w:rsidRDefault="003654D2" w:rsidP="003654D2">
      <w:pPr>
        <w:spacing w:after="0"/>
        <w:rPr>
          <w:rFonts w:ascii="Tahoma" w:hAnsi="Tahoma" w:cs="Tahoma"/>
          <w:sz w:val="18"/>
          <w:szCs w:val="18"/>
        </w:rPr>
      </w:pPr>
      <w:r w:rsidRPr="000D688C">
        <w:rPr>
          <w:rFonts w:ascii="Tahoma" w:hAnsi="Tahoma" w:cs="Tahoma"/>
          <w:sz w:val="18"/>
          <w:szCs w:val="18"/>
        </w:rPr>
        <w:t>Listed in order of</w:t>
      </w:r>
      <w:r w:rsidR="001635E0">
        <w:rPr>
          <w:rFonts w:ascii="Tahoma" w:hAnsi="Tahoma" w:cs="Tahoma"/>
          <w:sz w:val="18"/>
          <w:szCs w:val="18"/>
        </w:rPr>
        <w:t xml:space="preserve"> most time required to complete:</w:t>
      </w:r>
    </w:p>
    <w:p w:rsidR="003654D2" w:rsidRPr="000D688C" w:rsidRDefault="003654D2" w:rsidP="003654D2">
      <w:pPr>
        <w:spacing w:after="0"/>
        <w:rPr>
          <w:rFonts w:ascii="Tahoma" w:hAnsi="Tahoma" w:cs="Tahoma"/>
          <w:sz w:val="18"/>
          <w:szCs w:val="18"/>
        </w:rPr>
      </w:pPr>
    </w:p>
    <w:p w:rsidR="003654D2" w:rsidRPr="000D688C" w:rsidRDefault="003654D2" w:rsidP="003654D2">
      <w:pPr>
        <w:pStyle w:val="ListParagraph"/>
        <w:numPr>
          <w:ilvl w:val="0"/>
          <w:numId w:val="1"/>
        </w:numPr>
        <w:spacing w:after="0"/>
        <w:rPr>
          <w:rFonts w:ascii="Tahoma" w:hAnsi="Tahoma" w:cs="Tahoma"/>
          <w:sz w:val="18"/>
          <w:szCs w:val="18"/>
        </w:rPr>
      </w:pPr>
      <w:r>
        <w:rPr>
          <w:rFonts w:ascii="Tahoma" w:hAnsi="Tahoma" w:cs="Tahoma"/>
          <w:sz w:val="18"/>
          <w:szCs w:val="18"/>
          <w:lang w:eastAsia="en-CA"/>
        </w:rPr>
        <w:t>Invoicing orders and filing completed paperwork.</w:t>
      </w:r>
    </w:p>
    <w:p w:rsidR="003654D2" w:rsidRDefault="003654D2" w:rsidP="003654D2">
      <w:pPr>
        <w:pStyle w:val="ListParagraph"/>
        <w:numPr>
          <w:ilvl w:val="0"/>
          <w:numId w:val="1"/>
        </w:numPr>
        <w:spacing w:after="0"/>
        <w:rPr>
          <w:rFonts w:ascii="Tahoma" w:hAnsi="Tahoma" w:cs="Tahoma"/>
          <w:sz w:val="18"/>
          <w:szCs w:val="18"/>
        </w:rPr>
      </w:pPr>
      <w:r w:rsidRPr="000D688C">
        <w:rPr>
          <w:rFonts w:ascii="Tahoma" w:hAnsi="Tahoma" w:cs="Tahoma"/>
          <w:sz w:val="18"/>
          <w:szCs w:val="18"/>
        </w:rPr>
        <w:t>Greeting and ensuring anyone walking into Polywest is looked after promptly and professionally with their product needs and order fulfillment.</w:t>
      </w:r>
    </w:p>
    <w:p w:rsidR="003654D2" w:rsidRPr="000D688C" w:rsidRDefault="003654D2" w:rsidP="003654D2">
      <w:pPr>
        <w:numPr>
          <w:ilvl w:val="0"/>
          <w:numId w:val="1"/>
        </w:numPr>
        <w:shd w:val="clear" w:color="auto" w:fill="FFFFFF"/>
        <w:spacing w:after="0" w:line="240" w:lineRule="auto"/>
        <w:textAlignment w:val="baseline"/>
        <w:rPr>
          <w:rFonts w:ascii="Tahoma" w:hAnsi="Tahoma" w:cs="Tahoma"/>
          <w:sz w:val="18"/>
          <w:szCs w:val="18"/>
          <w:lang w:eastAsia="en-CA"/>
        </w:rPr>
      </w:pPr>
      <w:r w:rsidRPr="000D688C">
        <w:rPr>
          <w:rFonts w:ascii="Tahoma" w:hAnsi="Tahoma" w:cs="Tahoma"/>
          <w:sz w:val="18"/>
          <w:szCs w:val="18"/>
          <w:lang w:eastAsia="en-CA"/>
        </w:rPr>
        <w:t>Establishing and developing a relationship with our customer base as well as with co-workers</w:t>
      </w:r>
    </w:p>
    <w:p w:rsidR="003654D2" w:rsidRDefault="003654D2" w:rsidP="003654D2">
      <w:pPr>
        <w:pStyle w:val="ListParagraph"/>
        <w:numPr>
          <w:ilvl w:val="0"/>
          <w:numId w:val="1"/>
        </w:numPr>
        <w:spacing w:after="0"/>
        <w:rPr>
          <w:rFonts w:ascii="Tahoma" w:hAnsi="Tahoma" w:cs="Tahoma"/>
          <w:sz w:val="18"/>
          <w:szCs w:val="18"/>
        </w:rPr>
      </w:pPr>
      <w:r>
        <w:rPr>
          <w:rFonts w:ascii="Tahoma" w:hAnsi="Tahoma" w:cs="Tahoma"/>
          <w:sz w:val="18"/>
          <w:szCs w:val="18"/>
          <w:lang w:eastAsia="en-CA"/>
        </w:rPr>
        <w:t xml:space="preserve">Inventory confirmation of </w:t>
      </w:r>
      <w:r w:rsidRPr="000D688C">
        <w:rPr>
          <w:rFonts w:ascii="Tahoma" w:hAnsi="Tahoma" w:cs="Tahoma"/>
          <w:sz w:val="18"/>
          <w:szCs w:val="18"/>
          <w:lang w:eastAsia="en-CA"/>
        </w:rPr>
        <w:t xml:space="preserve">products to customers and </w:t>
      </w:r>
      <w:r>
        <w:rPr>
          <w:rFonts w:ascii="Tahoma" w:hAnsi="Tahoma" w:cs="Tahoma"/>
          <w:sz w:val="18"/>
          <w:szCs w:val="18"/>
          <w:lang w:eastAsia="en-CA"/>
        </w:rPr>
        <w:t>assisting</w:t>
      </w:r>
      <w:r w:rsidRPr="000D688C">
        <w:rPr>
          <w:rFonts w:ascii="Tahoma" w:hAnsi="Tahoma" w:cs="Tahoma"/>
          <w:sz w:val="18"/>
          <w:szCs w:val="18"/>
          <w:lang w:eastAsia="en-CA"/>
        </w:rPr>
        <w:t xml:space="preserve"> </w:t>
      </w:r>
      <w:r w:rsidR="001635E0">
        <w:rPr>
          <w:rFonts w:ascii="Tahoma" w:hAnsi="Tahoma" w:cs="Tahoma"/>
          <w:sz w:val="18"/>
          <w:szCs w:val="18"/>
          <w:lang w:eastAsia="en-CA"/>
        </w:rPr>
        <w:t xml:space="preserve">product &amp; </w:t>
      </w:r>
      <w:r w:rsidRPr="000D688C">
        <w:rPr>
          <w:rFonts w:ascii="Tahoma" w:hAnsi="Tahoma" w:cs="Tahoma"/>
          <w:sz w:val="18"/>
          <w:szCs w:val="18"/>
          <w:lang w:eastAsia="en-CA"/>
        </w:rPr>
        <w:t>pricing inquiries</w:t>
      </w:r>
      <w:r>
        <w:rPr>
          <w:rFonts w:ascii="Tahoma" w:hAnsi="Tahoma" w:cs="Tahoma"/>
          <w:sz w:val="18"/>
          <w:szCs w:val="18"/>
          <w:lang w:eastAsia="en-CA"/>
        </w:rPr>
        <w:t>.</w:t>
      </w:r>
    </w:p>
    <w:p w:rsidR="003654D2" w:rsidRPr="007142A0" w:rsidRDefault="003654D2" w:rsidP="003654D2">
      <w:pPr>
        <w:pStyle w:val="ListParagraph"/>
        <w:numPr>
          <w:ilvl w:val="0"/>
          <w:numId w:val="1"/>
        </w:numPr>
        <w:spacing w:after="0"/>
        <w:rPr>
          <w:rFonts w:ascii="Tahoma" w:hAnsi="Tahoma" w:cs="Tahoma"/>
          <w:sz w:val="18"/>
          <w:szCs w:val="18"/>
        </w:rPr>
      </w:pPr>
      <w:r w:rsidRPr="000D688C">
        <w:rPr>
          <w:rFonts w:ascii="Tahoma" w:hAnsi="Tahoma" w:cs="Tahoma"/>
          <w:sz w:val="18"/>
          <w:szCs w:val="18"/>
        </w:rPr>
        <w:t>Tracking open orders to ensure all committed orders are shipping to customers</w:t>
      </w:r>
    </w:p>
    <w:p w:rsidR="003654D2" w:rsidRPr="000D688C" w:rsidRDefault="003654D2" w:rsidP="003654D2">
      <w:pPr>
        <w:pStyle w:val="ListParagraph"/>
        <w:numPr>
          <w:ilvl w:val="0"/>
          <w:numId w:val="1"/>
        </w:numPr>
        <w:spacing w:after="0"/>
        <w:rPr>
          <w:rFonts w:ascii="Tahoma" w:hAnsi="Tahoma" w:cs="Tahoma"/>
          <w:sz w:val="18"/>
          <w:szCs w:val="18"/>
        </w:rPr>
      </w:pPr>
      <w:r w:rsidRPr="000D688C">
        <w:rPr>
          <w:rFonts w:ascii="Tahoma" w:hAnsi="Tahoma" w:cs="Tahoma"/>
          <w:sz w:val="18"/>
          <w:szCs w:val="18"/>
          <w:lang w:eastAsia="en-CA"/>
        </w:rPr>
        <w:t>Processing any RMA or PAR transactions as they arise.</w:t>
      </w:r>
    </w:p>
    <w:p w:rsidR="003654D2" w:rsidRDefault="003654D2" w:rsidP="003654D2">
      <w:pPr>
        <w:pStyle w:val="ListParagraph"/>
        <w:numPr>
          <w:ilvl w:val="0"/>
          <w:numId w:val="1"/>
        </w:numPr>
        <w:spacing w:after="0"/>
        <w:rPr>
          <w:rFonts w:ascii="Tahoma" w:hAnsi="Tahoma" w:cs="Tahoma"/>
          <w:sz w:val="18"/>
          <w:szCs w:val="18"/>
        </w:rPr>
      </w:pPr>
      <w:r w:rsidRPr="000D688C">
        <w:rPr>
          <w:rFonts w:ascii="Tahoma" w:hAnsi="Tahoma" w:cs="Tahoma"/>
          <w:sz w:val="18"/>
          <w:szCs w:val="18"/>
          <w:lang w:eastAsia="en-CA"/>
        </w:rPr>
        <w:t>Supporting the receiving and backorder allocation process with the Warehouse Supervisor</w:t>
      </w:r>
    </w:p>
    <w:p w:rsidR="003654D2" w:rsidRDefault="003654D2" w:rsidP="003654D2">
      <w:pPr>
        <w:spacing w:after="0"/>
        <w:rPr>
          <w:rFonts w:ascii="Tahoma" w:hAnsi="Tahoma" w:cs="Tahoma"/>
          <w:sz w:val="18"/>
          <w:szCs w:val="18"/>
        </w:rPr>
      </w:pPr>
    </w:p>
    <w:p w:rsidR="001635E0" w:rsidRDefault="001635E0" w:rsidP="003654D2">
      <w:pPr>
        <w:spacing w:after="0"/>
        <w:rPr>
          <w:rFonts w:ascii="Tahoma" w:hAnsi="Tahoma" w:cs="Tahoma"/>
          <w:sz w:val="18"/>
          <w:szCs w:val="18"/>
        </w:rPr>
      </w:pPr>
    </w:p>
    <w:p w:rsidR="001635E0" w:rsidRDefault="001635E0" w:rsidP="003654D2">
      <w:pPr>
        <w:spacing w:after="0"/>
        <w:rPr>
          <w:rFonts w:ascii="Tahoma" w:hAnsi="Tahoma" w:cs="Tahoma"/>
          <w:sz w:val="18"/>
          <w:szCs w:val="18"/>
        </w:rPr>
      </w:pPr>
    </w:p>
    <w:p w:rsidR="004C17CE" w:rsidRPr="000C5743" w:rsidRDefault="004C17CE" w:rsidP="004C17CE">
      <w:pPr>
        <w:pStyle w:val="ListParagraph"/>
        <w:ind w:left="0"/>
        <w:rPr>
          <w:rFonts w:ascii="Tahoma" w:hAnsi="Tahoma" w:cs="Tahoma"/>
          <w:sz w:val="20"/>
          <w:szCs w:val="20"/>
        </w:rPr>
      </w:pPr>
      <w:proofErr w:type="spellStart"/>
      <w:r w:rsidRPr="000C5743">
        <w:rPr>
          <w:rFonts w:ascii="Tahoma" w:hAnsi="Tahoma" w:cs="Tahoma"/>
          <w:sz w:val="20"/>
          <w:szCs w:val="20"/>
          <w:shd w:val="clear" w:color="auto" w:fill="FFFFFF"/>
        </w:rPr>
        <w:t>Polywest</w:t>
      </w:r>
      <w:proofErr w:type="spellEnd"/>
      <w:r w:rsidRPr="000C5743">
        <w:rPr>
          <w:rFonts w:ascii="Tahoma" w:hAnsi="Tahoma" w:cs="Tahoma"/>
          <w:sz w:val="20"/>
          <w:szCs w:val="20"/>
          <w:shd w:val="clear" w:color="auto" w:fill="FFFFFF"/>
        </w:rPr>
        <w:t xml:space="preserve"> offers an exciting team-oriented work environment where you will be given the structure and opportunity to watch your career grow. Our aggressive growth path will open up new opportunities for those interested in furthering their career. Supported by our Winnipeg head office, our network of branches </w:t>
      </w:r>
      <w:r>
        <w:rPr>
          <w:rFonts w:ascii="Tahoma" w:hAnsi="Tahoma" w:cs="Tahoma"/>
          <w:sz w:val="20"/>
          <w:szCs w:val="20"/>
          <w:shd w:val="clear" w:color="auto" w:fill="FFFFFF"/>
        </w:rPr>
        <w:t xml:space="preserve">also </w:t>
      </w:r>
      <w:r w:rsidRPr="000C5743">
        <w:rPr>
          <w:rFonts w:ascii="Tahoma" w:hAnsi="Tahoma" w:cs="Tahoma"/>
          <w:sz w:val="20"/>
          <w:szCs w:val="20"/>
          <w:shd w:val="clear" w:color="auto" w:fill="FFFFFF"/>
        </w:rPr>
        <w:t xml:space="preserve">includes Saskatoon.  We offer a competitive compensation package, paid benefits, and paid vacation after year one. </w:t>
      </w:r>
      <w:proofErr w:type="spellStart"/>
      <w:r w:rsidRPr="000C5743">
        <w:rPr>
          <w:rFonts w:ascii="Tahoma" w:hAnsi="Tahoma" w:cs="Tahoma"/>
          <w:sz w:val="20"/>
          <w:szCs w:val="20"/>
          <w:shd w:val="clear" w:color="auto" w:fill="FFFFFF"/>
        </w:rPr>
        <w:t>Polywest</w:t>
      </w:r>
      <w:proofErr w:type="spellEnd"/>
      <w:r w:rsidRPr="000C5743">
        <w:rPr>
          <w:rFonts w:ascii="Tahoma" w:hAnsi="Tahoma" w:cs="Tahoma"/>
          <w:sz w:val="20"/>
          <w:szCs w:val="20"/>
          <w:shd w:val="clear" w:color="auto" w:fill="FFFFFF"/>
        </w:rPr>
        <w:t xml:space="preserve"> operates Monday through Friday (8:00 am until 4:30 pm).</w:t>
      </w:r>
    </w:p>
    <w:p w:rsidR="00270E36" w:rsidRPr="00270E36" w:rsidRDefault="00270E36" w:rsidP="00270E36">
      <w:pPr>
        <w:spacing w:after="0" w:line="240" w:lineRule="auto"/>
      </w:pPr>
    </w:p>
    <w:sectPr w:rsidR="00270E36" w:rsidRPr="00270E36" w:rsidSect="008E6589">
      <w:headerReference w:type="default" r:id="rId8"/>
      <w:footerReference w:type="even" r:id="rId9"/>
      <w:footerReference w:type="default" r:id="rId10"/>
      <w:type w:val="continuous"/>
      <w:pgSz w:w="12240" w:h="15840"/>
      <w:pgMar w:top="1440" w:right="1080" w:bottom="144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5915" w:rsidRDefault="00B75915" w:rsidP="00270E36">
      <w:pPr>
        <w:spacing w:after="0" w:line="240" w:lineRule="auto"/>
      </w:pPr>
      <w:r>
        <w:separator/>
      </w:r>
    </w:p>
  </w:endnote>
  <w:endnote w:type="continuationSeparator" w:id="0">
    <w:p w:rsidR="00B75915" w:rsidRDefault="00B75915" w:rsidP="00270E3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6B" w:rsidRDefault="00025791">
    <w:pPr>
      <w:pStyle w:val="Footer"/>
    </w:pPr>
    <w:r>
      <w:rPr>
        <w:noProof/>
        <w:lang w:val="en-CA" w:eastAsia="en-CA"/>
      </w:rPr>
      <w:drawing>
        <wp:inline distT="0" distB="0" distL="0" distR="0">
          <wp:extent cx="5936615" cy="544195"/>
          <wp:effectExtent l="19050" t="0" r="6985" b="0"/>
          <wp:docPr id="2" name="Picture 2"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ooter"/>
                  <pic:cNvPicPr>
                    <a:picLocks noChangeAspect="1" noChangeArrowheads="1"/>
                  </pic:cNvPicPr>
                </pic:nvPicPr>
                <pic:blipFill>
                  <a:blip r:embed="rId1"/>
                  <a:srcRect/>
                  <a:stretch>
                    <a:fillRect/>
                  </a:stretch>
                </pic:blipFill>
                <pic:spPr bwMode="auto">
                  <a:xfrm>
                    <a:off x="0" y="0"/>
                    <a:ext cx="5936615" cy="544195"/>
                  </a:xfrm>
                  <a:prstGeom prst="rect">
                    <a:avLst/>
                  </a:prstGeom>
                  <a:noFill/>
                  <a:ln w="9525">
                    <a:noFill/>
                    <a:miter lim="800000"/>
                    <a:headEnd/>
                    <a:tailEnd/>
                  </a:ln>
                </pic:spPr>
              </pic:pic>
            </a:graphicData>
          </a:graphic>
        </wp:inline>
      </w:drawing>
    </w:r>
    <w:r>
      <w:rPr>
        <w:noProof/>
        <w:lang w:val="en-CA" w:eastAsia="en-CA"/>
      </w:rPr>
      <w:drawing>
        <wp:inline distT="0" distB="0" distL="0" distR="0">
          <wp:extent cx="5936615" cy="544195"/>
          <wp:effectExtent l="19050" t="0" r="6985" b="0"/>
          <wp:docPr id="3" name="Picture 3"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ooter"/>
                  <pic:cNvPicPr>
                    <a:picLocks noChangeAspect="1" noChangeArrowheads="1"/>
                  </pic:cNvPicPr>
                </pic:nvPicPr>
                <pic:blipFill>
                  <a:blip r:embed="rId1"/>
                  <a:srcRect/>
                  <a:stretch>
                    <a:fillRect/>
                  </a:stretch>
                </pic:blipFill>
                <pic:spPr bwMode="auto">
                  <a:xfrm>
                    <a:off x="0" y="0"/>
                    <a:ext cx="5936615" cy="544195"/>
                  </a:xfrm>
                  <a:prstGeom prst="rect">
                    <a:avLst/>
                  </a:prstGeom>
                  <a:noFill/>
                  <a:ln w="9525">
                    <a:noFill/>
                    <a:miter lim="800000"/>
                    <a:headEnd/>
                    <a:tailEnd/>
                  </a:ln>
                </pic:spPr>
              </pic:pic>
            </a:graphicData>
          </a:graphic>
        </wp:inline>
      </w:drawing>
    </w:r>
    <w:r>
      <w:rPr>
        <w:noProof/>
        <w:lang w:val="en-CA" w:eastAsia="en-CA"/>
      </w:rPr>
      <w:drawing>
        <wp:inline distT="0" distB="0" distL="0" distR="0">
          <wp:extent cx="5936615" cy="544195"/>
          <wp:effectExtent l="19050" t="0" r="6985" b="0"/>
          <wp:docPr id="4" name="Picture 4" descr="foo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ooter"/>
                  <pic:cNvPicPr>
                    <a:picLocks noChangeAspect="1" noChangeArrowheads="1"/>
                  </pic:cNvPicPr>
                </pic:nvPicPr>
                <pic:blipFill>
                  <a:blip r:embed="rId1"/>
                  <a:srcRect/>
                  <a:stretch>
                    <a:fillRect/>
                  </a:stretch>
                </pic:blipFill>
                <pic:spPr bwMode="auto">
                  <a:xfrm>
                    <a:off x="0" y="0"/>
                    <a:ext cx="5936615" cy="544195"/>
                  </a:xfrm>
                  <a:prstGeom prst="rect">
                    <a:avLst/>
                  </a:prstGeom>
                  <a:noFill/>
                  <a:ln w="9525">
                    <a:noFill/>
                    <a:miter lim="800000"/>
                    <a:headEnd/>
                    <a:tailEnd/>
                  </a:ln>
                </pic:spPr>
              </pic:pic>
            </a:graphicData>
          </a:graphic>
        </wp:inline>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ook w:val="04A0"/>
    </w:tblPr>
    <w:tblGrid>
      <w:gridCol w:w="5508"/>
      <w:gridCol w:w="4788"/>
    </w:tblGrid>
    <w:tr w:rsidR="0057046B" w:rsidRPr="00854B77" w:rsidTr="00854B77">
      <w:tc>
        <w:tcPr>
          <w:tcW w:w="5508" w:type="dxa"/>
          <w:vAlign w:val="center"/>
        </w:tcPr>
        <w:p w:rsidR="0057046B" w:rsidRPr="00854B77" w:rsidRDefault="0057046B" w:rsidP="000A3C66">
          <w:pPr>
            <w:pStyle w:val="Footer"/>
            <w:rPr>
              <w:rFonts w:ascii="Arial Narrow" w:hAnsi="Arial Narrow"/>
              <w:sz w:val="20"/>
              <w:szCs w:val="20"/>
            </w:rPr>
          </w:pPr>
        </w:p>
      </w:tc>
      <w:tc>
        <w:tcPr>
          <w:tcW w:w="4788" w:type="dxa"/>
          <w:vAlign w:val="bottom"/>
        </w:tcPr>
        <w:p w:rsidR="0057046B" w:rsidRPr="00854B77" w:rsidRDefault="00025791" w:rsidP="00854B77">
          <w:pPr>
            <w:pStyle w:val="Footer"/>
            <w:jc w:val="right"/>
            <w:rPr>
              <w:rFonts w:ascii="Arial Narrow" w:hAnsi="Arial Narrow"/>
              <w:sz w:val="20"/>
              <w:szCs w:val="20"/>
            </w:rPr>
          </w:pPr>
          <w:r>
            <w:rPr>
              <w:rFonts w:ascii="Arial Narrow" w:hAnsi="Arial Narrow"/>
              <w:noProof/>
              <w:sz w:val="20"/>
              <w:szCs w:val="20"/>
              <w:lang w:val="en-CA" w:eastAsia="en-CA"/>
            </w:rPr>
            <w:drawing>
              <wp:inline distT="0" distB="0" distL="0" distR="0">
                <wp:extent cx="812800" cy="631190"/>
                <wp:effectExtent l="19050" t="0" r="6350" b="0"/>
                <wp:docPr id="5" name="Picture 5" descr="footer -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ooter - right"/>
                        <pic:cNvPicPr>
                          <a:picLocks noChangeAspect="1" noChangeArrowheads="1"/>
                        </pic:cNvPicPr>
                      </pic:nvPicPr>
                      <pic:blipFill>
                        <a:blip r:embed="rId1"/>
                        <a:srcRect/>
                        <a:stretch>
                          <a:fillRect/>
                        </a:stretch>
                      </pic:blipFill>
                      <pic:spPr bwMode="auto">
                        <a:xfrm>
                          <a:off x="0" y="0"/>
                          <a:ext cx="812800" cy="631190"/>
                        </a:xfrm>
                        <a:prstGeom prst="rect">
                          <a:avLst/>
                        </a:prstGeom>
                        <a:noFill/>
                        <a:ln w="9525">
                          <a:noFill/>
                          <a:miter lim="800000"/>
                          <a:headEnd/>
                          <a:tailEnd/>
                        </a:ln>
                      </pic:spPr>
                    </pic:pic>
                  </a:graphicData>
                </a:graphic>
              </wp:inline>
            </w:drawing>
          </w:r>
        </w:p>
      </w:tc>
    </w:tr>
  </w:tbl>
  <w:p w:rsidR="0057046B" w:rsidRDefault="0057046B" w:rsidP="00BA4A0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5915" w:rsidRDefault="00B75915" w:rsidP="00270E36">
      <w:pPr>
        <w:spacing w:after="0" w:line="240" w:lineRule="auto"/>
      </w:pPr>
      <w:r>
        <w:separator/>
      </w:r>
    </w:p>
  </w:footnote>
  <w:footnote w:type="continuationSeparator" w:id="0">
    <w:p w:rsidR="00B75915" w:rsidRDefault="00B75915" w:rsidP="00270E3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046B" w:rsidRDefault="00025791" w:rsidP="008E6589">
    <w:pPr>
      <w:pStyle w:val="Header"/>
      <w:tabs>
        <w:tab w:val="clear" w:pos="4680"/>
        <w:tab w:val="clear" w:pos="9360"/>
        <w:tab w:val="center" w:pos="-4140"/>
      </w:tabs>
      <w:ind w:left="-360" w:right="-360"/>
      <w:jc w:val="right"/>
      <w:rPr>
        <w:noProof/>
        <w:lang w:eastAsia="en-CA"/>
      </w:rPr>
    </w:pPr>
    <w:r>
      <w:rPr>
        <w:noProof/>
        <w:lang w:val="en-CA" w:eastAsia="en-CA"/>
      </w:rPr>
      <w:drawing>
        <wp:inline distT="0" distB="0" distL="0" distR="0">
          <wp:extent cx="2402205" cy="624205"/>
          <wp:effectExtent l="19050" t="0" r="0" b="0"/>
          <wp:docPr id="1" name="Picture 0" descr="header.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header.tif"/>
                  <pic:cNvPicPr>
                    <a:picLocks noChangeAspect="1" noChangeArrowheads="1"/>
                  </pic:cNvPicPr>
                </pic:nvPicPr>
                <pic:blipFill>
                  <a:blip r:embed="rId1"/>
                  <a:srcRect/>
                  <a:stretch>
                    <a:fillRect/>
                  </a:stretch>
                </pic:blipFill>
                <pic:spPr bwMode="auto">
                  <a:xfrm>
                    <a:off x="0" y="0"/>
                    <a:ext cx="2402205" cy="624205"/>
                  </a:xfrm>
                  <a:prstGeom prst="rect">
                    <a:avLst/>
                  </a:prstGeom>
                  <a:noFill/>
                  <a:ln w="9525">
                    <a:noFill/>
                    <a:miter lim="800000"/>
                    <a:headEnd/>
                    <a:tailEnd/>
                  </a:ln>
                </pic:spPr>
              </pic:pic>
            </a:graphicData>
          </a:graphic>
        </wp:inline>
      </w:drawing>
    </w:r>
  </w:p>
  <w:p w:rsidR="0057046B" w:rsidRDefault="0057046B" w:rsidP="008E6589">
    <w:pPr>
      <w:pStyle w:val="Header"/>
      <w:tabs>
        <w:tab w:val="clear" w:pos="4680"/>
        <w:tab w:val="clear" w:pos="9360"/>
        <w:tab w:val="center" w:pos="-4140"/>
      </w:tabs>
      <w:ind w:left="-360" w:right="-360"/>
      <w:jc w:val="right"/>
      <w:rPr>
        <w:noProof/>
        <w:lang w:eastAsia="en-CA"/>
      </w:rPr>
    </w:pPr>
  </w:p>
  <w:p w:rsidR="0057046B" w:rsidRDefault="0057046B" w:rsidP="008E6589">
    <w:pPr>
      <w:pStyle w:val="Header"/>
      <w:tabs>
        <w:tab w:val="clear" w:pos="4680"/>
        <w:tab w:val="clear" w:pos="9360"/>
        <w:tab w:val="center" w:pos="-4140"/>
      </w:tabs>
      <w:ind w:left="-360" w:right="-360"/>
      <w:jc w:val="righ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73404CF"/>
    <w:multiLevelType w:val="hybridMultilevel"/>
    <w:tmpl w:val="5386D1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rsids>
    <w:rsidRoot w:val="009931EE"/>
    <w:rsid w:val="00025791"/>
    <w:rsid w:val="000A3C66"/>
    <w:rsid w:val="000B49FF"/>
    <w:rsid w:val="000E51CD"/>
    <w:rsid w:val="001635E0"/>
    <w:rsid w:val="00213C5F"/>
    <w:rsid w:val="00270E36"/>
    <w:rsid w:val="002C0648"/>
    <w:rsid w:val="002F61F3"/>
    <w:rsid w:val="003654D2"/>
    <w:rsid w:val="003F1A19"/>
    <w:rsid w:val="004B0781"/>
    <w:rsid w:val="004C17CE"/>
    <w:rsid w:val="004F2092"/>
    <w:rsid w:val="00510598"/>
    <w:rsid w:val="0057046B"/>
    <w:rsid w:val="00581842"/>
    <w:rsid w:val="00640BAC"/>
    <w:rsid w:val="006D15A3"/>
    <w:rsid w:val="007223CD"/>
    <w:rsid w:val="00754A08"/>
    <w:rsid w:val="00773ABA"/>
    <w:rsid w:val="00847067"/>
    <w:rsid w:val="00854B77"/>
    <w:rsid w:val="00865827"/>
    <w:rsid w:val="008E6589"/>
    <w:rsid w:val="009931EE"/>
    <w:rsid w:val="00A161D0"/>
    <w:rsid w:val="00A619D6"/>
    <w:rsid w:val="00A85C85"/>
    <w:rsid w:val="00A94611"/>
    <w:rsid w:val="00B056BD"/>
    <w:rsid w:val="00B75915"/>
    <w:rsid w:val="00BA3DBB"/>
    <w:rsid w:val="00BA4A0E"/>
    <w:rsid w:val="00C52DA7"/>
    <w:rsid w:val="00C63EAC"/>
    <w:rsid w:val="00C73095"/>
    <w:rsid w:val="00C76403"/>
    <w:rsid w:val="00CD1DA8"/>
    <w:rsid w:val="00D705EE"/>
    <w:rsid w:val="00D95FEE"/>
    <w:rsid w:val="00DF4BE7"/>
    <w:rsid w:val="00E56868"/>
    <w:rsid w:val="00EC3EB3"/>
    <w:rsid w:val="00F06F9D"/>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54D2"/>
    <w:pPr>
      <w:spacing w:after="200" w:line="276" w:lineRule="auto"/>
    </w:pPr>
    <w:rPr>
      <w:rFonts w:asciiTheme="minorHAnsi" w:eastAsiaTheme="minorHAnsi" w:hAnsiTheme="minorHAnsi" w:cstheme="minorBidi"/>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70E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0E36"/>
  </w:style>
  <w:style w:type="paragraph" w:styleId="Footer">
    <w:name w:val="footer"/>
    <w:basedOn w:val="Normal"/>
    <w:link w:val="FooterChar"/>
    <w:uiPriority w:val="99"/>
    <w:unhideWhenUsed/>
    <w:rsid w:val="00270E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0E36"/>
  </w:style>
  <w:style w:type="paragraph" w:styleId="BalloonText">
    <w:name w:val="Balloon Text"/>
    <w:basedOn w:val="Normal"/>
    <w:link w:val="BalloonTextChar"/>
    <w:uiPriority w:val="99"/>
    <w:semiHidden/>
    <w:unhideWhenUsed/>
    <w:rsid w:val="00270E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0E36"/>
    <w:rPr>
      <w:rFonts w:ascii="Tahoma" w:hAnsi="Tahoma" w:cs="Tahoma"/>
      <w:sz w:val="16"/>
      <w:szCs w:val="16"/>
    </w:rPr>
  </w:style>
  <w:style w:type="table" w:styleId="TableGrid">
    <w:name w:val="Table Grid"/>
    <w:basedOn w:val="TableNormal"/>
    <w:uiPriority w:val="59"/>
    <w:rsid w:val="00BA4A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BA4A0E"/>
    <w:rPr>
      <w:color w:val="0000FF"/>
      <w:u w:val="single"/>
    </w:rPr>
  </w:style>
  <w:style w:type="paragraph" w:styleId="ListParagraph">
    <w:name w:val="List Paragraph"/>
    <w:basedOn w:val="Normal"/>
    <w:uiPriority w:val="34"/>
    <w:qFormat/>
    <w:rsid w:val="003654D2"/>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S:\Marketing\Letterhead%20and%20Forms\Polywest%20Letterhead%20-%20WP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484CF1-0672-42BE-B0D3-A99ADBAEFB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Polywest Letterhead - WPG</Template>
  <TotalTime>0</TotalTime>
  <Pages>1</Pages>
  <Words>298</Words>
  <Characters>1701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1996</CharactersWithSpaces>
  <SharedDoc>false</SharedDoc>
  <HLinks>
    <vt:vector size="6" baseType="variant">
      <vt:variant>
        <vt:i4>8126516</vt:i4>
      </vt:variant>
      <vt:variant>
        <vt:i4>0</vt:i4>
      </vt:variant>
      <vt:variant>
        <vt:i4>0</vt:i4>
      </vt:variant>
      <vt:variant>
        <vt:i4>5</vt:i4>
      </vt:variant>
      <vt:variant>
        <vt:lpwstr>http://www.polywest.ca/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Kasey Riddell</dc:creator>
  <cp:lastModifiedBy>Kasey Riddell</cp:lastModifiedBy>
  <cp:revision>2</cp:revision>
  <cp:lastPrinted>2013-04-25T18:38:00Z</cp:lastPrinted>
  <dcterms:created xsi:type="dcterms:W3CDTF">2022-02-04T21:32:00Z</dcterms:created>
  <dcterms:modified xsi:type="dcterms:W3CDTF">2022-02-04T21:32:00Z</dcterms:modified>
</cp:coreProperties>
</file>